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CAA9" w14:textId="10F1ECF4" w:rsidR="007A2F15" w:rsidRDefault="007A2F15">
      <w:pPr>
        <w:rPr>
          <w:noProof/>
        </w:rPr>
      </w:pPr>
      <w:r>
        <w:rPr>
          <w:b/>
          <w:bCs/>
          <w:noProof/>
          <w:sz w:val="28"/>
          <w:szCs w:val="28"/>
        </w:rPr>
        <w:t>BECOMING A CATHOLIC</w:t>
      </w:r>
      <w:r>
        <w:rPr>
          <w:noProof/>
        </w:rPr>
        <w:drawing>
          <wp:inline distT="0" distB="0" distL="0" distR="0" wp14:anchorId="49292CD8" wp14:editId="44420484">
            <wp:extent cx="6038850" cy="639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15">
        <w:rPr>
          <w:noProof/>
          <w:sz w:val="28"/>
          <w:szCs w:val="28"/>
        </w:rPr>
        <w:t xml:space="preserve"> </w:t>
      </w:r>
    </w:p>
    <w:p w14:paraId="7C1DBB5B" w14:textId="57AFDE59" w:rsidR="005D2B85" w:rsidRPr="007A2F15" w:rsidRDefault="007A2F15">
      <w:pPr>
        <w:rPr>
          <w:sz w:val="24"/>
          <w:szCs w:val="24"/>
        </w:rPr>
      </w:pPr>
      <w:r w:rsidRPr="007A2F15">
        <w:rPr>
          <w:noProof/>
          <w:sz w:val="24"/>
          <w:szCs w:val="24"/>
        </w:rPr>
        <w:t>The Right of Christian Initiation of Adults</w:t>
      </w:r>
      <w:r w:rsidRPr="007A2F15">
        <w:rPr>
          <w:noProof/>
          <w:sz w:val="24"/>
          <w:szCs w:val="24"/>
        </w:rPr>
        <w:t>RCIA) program is available to the non-baptized and to other Christians who would like to become a Catholic.  This program will prepare adults for Baptism, Confirmation, Eucharist, and full reception into the Roman Catholic Church.  Please contact the parish office (416-759-9359 or </w:t>
      </w:r>
      <w:hyperlink r:id="rId5" w:history="1">
        <w:r w:rsidRPr="007A2F15">
          <w:rPr>
            <w:rStyle w:val="Hyperlink"/>
            <w:i/>
            <w:iCs/>
            <w:noProof/>
            <w:sz w:val="24"/>
            <w:szCs w:val="24"/>
          </w:rPr>
          <w:t>stlawrence.archtoronto@rogers.com</w:t>
        </w:r>
      </w:hyperlink>
      <w:r w:rsidRPr="007A2F15">
        <w:rPr>
          <w:noProof/>
          <w:sz w:val="24"/>
          <w:szCs w:val="24"/>
        </w:rPr>
        <w:t>) to enroll in the RCIA program. </w:t>
      </w:r>
    </w:p>
    <w:sectPr w:rsidR="005D2B85" w:rsidRPr="007A2F15" w:rsidSect="00A44C0D">
      <w:pgSz w:w="12240" w:h="15840" w:code="1"/>
      <w:pgMar w:top="397" w:right="454" w:bottom="397" w:left="1021" w:header="709" w:footer="709" w:gutter="17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15"/>
    <w:rsid w:val="004B5D7A"/>
    <w:rsid w:val="005D2B85"/>
    <w:rsid w:val="007A2F15"/>
    <w:rsid w:val="00A44C0D"/>
    <w:rsid w:val="00C05A00"/>
    <w:rsid w:val="00E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85C6"/>
  <w15:chartTrackingRefBased/>
  <w15:docId w15:val="{4E8FABC5-C02C-43AE-9657-A8E5429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96754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754"/>
    <w:rPr>
      <w:rFonts w:asciiTheme="majorHAnsi" w:eastAsiaTheme="majorEastAsia" w:hAnsiTheme="majorHAnsi" w:cstheme="majorBidi"/>
      <w:b/>
      <w:bCs/>
      <w:color w:val="1CADE4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E967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6754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oSpacing">
    <w:name w:val="No Spacing"/>
    <w:uiPriority w:val="1"/>
    <w:qFormat/>
    <w:rsid w:val="00E967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F15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lawrence.archtoronto@roge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AF8EE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Etneciv Dumael</dc:creator>
  <cp:keywords/>
  <dc:description/>
  <cp:lastModifiedBy>Etneciv Dumael</cp:lastModifiedBy>
  <cp:revision>1</cp:revision>
  <dcterms:created xsi:type="dcterms:W3CDTF">2021-01-29T07:28:00Z</dcterms:created>
  <dcterms:modified xsi:type="dcterms:W3CDTF">2021-01-29T07:33:00Z</dcterms:modified>
</cp:coreProperties>
</file>